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C0" w:rsidRDefault="00885448">
      <w:pPr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关于印发《吉林省政府集中采购目录及标准》的通知</w:t>
      </w:r>
    </w:p>
    <w:p w:rsidR="00885448" w:rsidRDefault="00885448">
      <w:pPr>
        <w:rPr>
          <w:color w:val="333333"/>
          <w:sz w:val="36"/>
          <w:szCs w:val="36"/>
        </w:rPr>
      </w:pPr>
    </w:p>
    <w:p w:rsidR="00885448" w:rsidRPr="00885448" w:rsidRDefault="00885448" w:rsidP="00885448">
      <w:pPr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proofErr w:type="gramStart"/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吉财采购</w:t>
      </w:r>
      <w:proofErr w:type="gramEnd"/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〔2020〕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695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号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省委各部委，省政府各厅委、各直属机构，省人大常委会办公厅，省政协办公厅，省纪委办公厅，省法院，省检察院，各民主党派，各人民团体,各市（州）财政局、长白山管委会财政局，各县（市）财政局，</w:t>
      </w:r>
      <w:proofErr w:type="gramStart"/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各集中</w:t>
      </w:r>
      <w:proofErr w:type="gramEnd"/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采购机构：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根据《中华人民共和国政府采购法》、《中华人民共和国政府采购法实施条例》以及相关政策规定，结合我省政府采购实际情况，经省政府同意，现制定吉林省政府集中采购目录及标准如下：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一、集中采购机构采购项目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以下项目必须按规定委托集中采购机构采购。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"/>
        <w:gridCol w:w="1743"/>
        <w:gridCol w:w="11"/>
        <w:gridCol w:w="1627"/>
        <w:gridCol w:w="3986"/>
      </w:tblGrid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序号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品 目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编 码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备 注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计算机设备及软件（A0201）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90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计算机设备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A020101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服务器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A02010103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台式计算机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A02010104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便携式计算机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A02010105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计算机网络设备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9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路由器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A02010201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交换设备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A02010202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90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输入输出设备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打印设备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喷墨打印机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A0201060101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激光打印机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A0201060102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针式打印机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A0201060104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显示设备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9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液晶显示器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A0201060401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图形图像输入设备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A02010609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扫描仪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A0201060901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计算机软件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基础软件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A02010801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信息安全软件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A02010805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373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办公设备（A0202）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复印机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投影仪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多功能一体机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具有多种办公功能的设备入此，例如带有打印功能的复印机。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LED显示屏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A020207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包括单基色显示屏、双基色显示屏、全彩色显示屏等。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388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17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触控一体机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A020208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包括室内型、户外型触摸屏等。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2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销毁设备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A020211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碎纸机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A02021101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车 辆（A0203）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19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乘用车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A020305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包括驾驶员座位在内不超过</w:t>
            </w: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（含）9个座位。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20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客车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A020306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机械设备（A0205）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电梯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A02051228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包括载人电梯、载货电梯、载人、载货两用电梯、消防电梯等。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电气设备（A0206）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不间断电源（UPS）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A02061504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包括后背式不间断电源、在线式不间断电源等。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空调机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A0206180203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空调类额定制冷量14000W及以下入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此，不含多联式空调机组。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其他货物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家具用具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办公家具入此，不包括“A0204图书档案设备”里的品目。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196"/>
          <w:jc w:val="center"/>
        </w:trPr>
        <w:tc>
          <w:tcPr>
            <w:tcW w:w="7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复印纸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A090101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电信服务（C0301）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互联网接入服务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C030102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车辆维修和保养服务(C0503)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27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车辆维修和保养服务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C050301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43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车辆加油服务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C050302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43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商务服务（C08）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90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29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法律服务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C0801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90" w:lineRule="atLeas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43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30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审计服务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C0803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指按照公认的会计原则，审查某机构的会计账册和其他单据的服务，跟踪审计服务入此。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43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资产评估服务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C0805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不动产评估、无形资产评估、知识产权评估。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371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32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安全服务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C0810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保安服务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33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印刷服务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C081401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房地产服务（C12）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34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物业管理服务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C1204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指办公场所或其他公用场所水电供应服务、设备运行、门窗保养维护、保洁、绿化养护等的管理及服务，包括：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——住宅物业管理服务：住宅小区、住宅楼、公寓等物业的管理服务；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——办公楼物业管理服务：写字楼、单位办公楼等物业管理服务；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——车站、机场、港口码头、医院、学校等物业管理服务；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——其他物业管理服务。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8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保险服务（C1504）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28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35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机动车保险服务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C15040201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885448" w:rsidRPr="00885448" w:rsidTr="00885448">
        <w:trPr>
          <w:trHeight w:val="40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36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云计算</w:t>
            </w:r>
            <w:proofErr w:type="gramEnd"/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服务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Pr="00885448" w:rsidRDefault="00885448" w:rsidP="00885448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8544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  <w:r w:rsidRPr="00885448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注：表中所列项目不包括高校、科研院所采购的科研仪器设备。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二、部门集中采购项目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部门或本系统有特殊要求，需要由本部门或本系统统一采购的货物、工程和服务类专用项目，属于部门集中采购项目。由各主管预算单位结合自身业务特点，自行确定本部门集中采购目录范围，并报省级财政部门备案后实施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三、分散采购限额标准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省和市（州）级单位政府采购</w:t>
      </w:r>
      <w:r w:rsidRPr="003E5A20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货物、服务项目分散采购限额标准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为50万元，</w:t>
      </w:r>
      <w:r w:rsidRPr="003E5A20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工程项目分散采购限额标准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100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万元；县（市）级单位政府采购货物、服务项目分散采购限额标准为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30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万元，工程项目分散采购限额标准为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60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万元。各级预算单位采购货物、服务和工程单项或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批量采购金额</w:t>
      </w:r>
      <w:bookmarkStart w:id="0" w:name="_GoBack"/>
      <w:bookmarkEnd w:id="0"/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达到采购限额标准以上的，应按照《中华人民共和国政府采购法》和《中华人民共和国招标投标法》有关规定执行。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四、公开招标数额标准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政府采购</w:t>
      </w:r>
      <w:r w:rsidRPr="003E5A20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货物、服务项目公开招标数额标准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为200万元，政府采购</w:t>
      </w:r>
      <w:r w:rsidRPr="003E5A20">
        <w:rPr>
          <w:rFonts w:ascii="宋体" w:eastAsia="宋体" w:hAnsi="宋体" w:cs="宋体" w:hint="eastAsia"/>
          <w:b/>
          <w:color w:val="333333"/>
          <w:kern w:val="0"/>
          <w:sz w:val="27"/>
          <w:szCs w:val="27"/>
        </w:rPr>
        <w:t>工程以及与工程建设有关的货物、服务公开招标数额标准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按照国务院有关规定执行。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五、有关要求和说明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（一）各市（州）、县（市）统一执行本通知规定的政府集中采购目录范围及标准。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（二）驻长春市以外的省直预算单位集中采购项目，可就近委托属地集中采购机构代理采购项目。驻省外的预算单位采购项目实行分散采购。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（三）涉密采购项目应按照涉密政府采购相关规定执行。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（四）本通知自2021年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1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1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日起执行。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吉林省财政厅</w:t>
      </w:r>
      <w:r w:rsidRPr="00885448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885448" w:rsidRPr="00885448" w:rsidRDefault="00885448" w:rsidP="00885448">
      <w:pPr>
        <w:shd w:val="clear" w:color="auto" w:fill="FFFFFF"/>
        <w:ind w:firstLineChars="259" w:firstLine="699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2020年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8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</w:t>
      </w:r>
      <w:r w:rsidRPr="00885448">
        <w:rPr>
          <w:rFonts w:ascii="宋体" w:eastAsia="宋体" w:hAnsi="宋体" w:cs="Times New Roman" w:hint="eastAsia"/>
          <w:color w:val="333333"/>
          <w:kern w:val="0"/>
          <w:sz w:val="27"/>
          <w:szCs w:val="27"/>
        </w:rPr>
        <w:t>19</w:t>
      </w:r>
      <w:r w:rsidRPr="0088544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</w:p>
    <w:p w:rsidR="00885448" w:rsidRDefault="00885448"/>
    <w:sectPr w:rsidR="0088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F7" w:rsidRDefault="00C853F7" w:rsidP="003E5A20">
      <w:r>
        <w:separator/>
      </w:r>
    </w:p>
  </w:endnote>
  <w:endnote w:type="continuationSeparator" w:id="0">
    <w:p w:rsidR="00C853F7" w:rsidRDefault="00C853F7" w:rsidP="003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F7" w:rsidRDefault="00C853F7" w:rsidP="003E5A20">
      <w:r>
        <w:separator/>
      </w:r>
    </w:p>
  </w:footnote>
  <w:footnote w:type="continuationSeparator" w:id="0">
    <w:p w:rsidR="00C853F7" w:rsidRDefault="00C853F7" w:rsidP="003E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0"/>
    <w:rsid w:val="000F49C0"/>
    <w:rsid w:val="003E5A20"/>
    <w:rsid w:val="00885448"/>
    <w:rsid w:val="00B92B90"/>
    <w:rsid w:val="00C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4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E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A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A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44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E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A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558">
              <w:marLeft w:val="0"/>
              <w:marRight w:val="0"/>
              <w:marTop w:val="0"/>
              <w:marBottom w:val="0"/>
              <w:divBdr>
                <w:top w:val="single" w:sz="12" w:space="11" w:color="11629A"/>
                <w:left w:val="single" w:sz="6" w:space="11" w:color="C2C2C2"/>
                <w:bottom w:val="single" w:sz="6" w:space="11" w:color="C2C2C2"/>
                <w:right w:val="single" w:sz="6" w:space="11" w:color="C2C2C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2020-11-20T07:47:00Z</dcterms:created>
  <dcterms:modified xsi:type="dcterms:W3CDTF">2020-11-24T06:05:00Z</dcterms:modified>
</cp:coreProperties>
</file>